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7AB8" w14:textId="76DC10B7" w:rsidR="00565D2D" w:rsidRPr="00B45E46" w:rsidRDefault="00E841D2" w:rsidP="00B45E46">
      <w:pPr>
        <w:jc w:val="center"/>
        <w:rPr>
          <w:b/>
          <w:bCs/>
        </w:rPr>
      </w:pPr>
      <w:r w:rsidRPr="00B45E46">
        <w:rPr>
          <w:b/>
          <w:bCs/>
        </w:rPr>
        <w:t>KINGDOM BUSINESS LEARNING CENTER</w:t>
      </w:r>
    </w:p>
    <w:p w14:paraId="315D4F6E" w14:textId="07C40CAB" w:rsidR="00E841D2" w:rsidRDefault="00E841D2" w:rsidP="00B45E46">
      <w:pPr>
        <w:jc w:val="center"/>
      </w:pPr>
      <w:r>
        <w:t>2023-2024 Fee Schedule</w:t>
      </w:r>
    </w:p>
    <w:p w14:paraId="46B90AEE" w14:textId="611E8A3A" w:rsidR="00B45E46" w:rsidRDefault="00B45E46" w:rsidP="00B45E4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45E46">
        <w:rPr>
          <w:rFonts w:ascii="Times New Roman" w:eastAsia="Times New Roman" w:hAnsi="Times New Roman" w:cs="Times New Roman"/>
          <w:color w:val="0E101A"/>
          <w:sz w:val="24"/>
          <w:szCs w:val="24"/>
        </w:rPr>
        <w:t>KBLC strives to make things as affordable as possible for families wanting to enroll their children. We do this through an enrollment fee, which covers your child</w:t>
      </w:r>
      <w:r w:rsidR="003D3A54">
        <w:rPr>
          <w:rFonts w:ascii="Times New Roman" w:eastAsia="Times New Roman" w:hAnsi="Times New Roman" w:cs="Times New Roman"/>
          <w:color w:val="0E101A"/>
          <w:sz w:val="24"/>
          <w:szCs w:val="24"/>
        </w:rPr>
        <w:t>'</w:t>
      </w:r>
      <w:r w:rsidRPr="00B45E46">
        <w:rPr>
          <w:rFonts w:ascii="Times New Roman" w:eastAsia="Times New Roman" w:hAnsi="Times New Roman" w:cs="Times New Roman"/>
          <w:color w:val="0E101A"/>
          <w:sz w:val="24"/>
          <w:szCs w:val="24"/>
        </w:rPr>
        <w:t>s registration, administrative, and all program activities and supplies.</w:t>
      </w:r>
    </w:p>
    <w:p w14:paraId="0F6A9ADF" w14:textId="77777777" w:rsidR="00B45E46" w:rsidRDefault="00B45E46" w:rsidP="00B45E4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82D36C9" w14:textId="4BFD2992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​</w:t>
      </w:r>
      <w:r w:rsidR="003D3A54">
        <w:rPr>
          <w:color w:val="0E101A"/>
        </w:rPr>
        <w:t>The e</w:t>
      </w:r>
      <w:r>
        <w:rPr>
          <w:color w:val="0E101A"/>
        </w:rPr>
        <w:t>nrollment fee is </w:t>
      </w:r>
      <w:r>
        <w:rPr>
          <w:rStyle w:val="Strong"/>
          <w:color w:val="0E101A"/>
        </w:rPr>
        <w:t>$100 per household</w:t>
      </w:r>
      <w:r>
        <w:rPr>
          <w:color w:val="0E101A"/>
        </w:rPr>
        <w:t> (paid with an online application and is non</w:t>
      </w:r>
      <w:r w:rsidR="003D3A54">
        <w:rPr>
          <w:color w:val="0E101A"/>
        </w:rPr>
        <w:t>-</w:t>
      </w:r>
      <w:r>
        <w:rPr>
          <w:color w:val="0E101A"/>
        </w:rPr>
        <w:t>refundable). The fee is a down payment to secure your spot.</w:t>
      </w:r>
    </w:p>
    <w:p w14:paraId="499B6E19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</w:p>
    <w:p w14:paraId="6ADB8DF2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Duration and Scope of Membership:</w:t>
      </w:r>
      <w:r>
        <w:rPr>
          <w:color w:val="0E101A"/>
        </w:rPr>
        <w:t> Membership covers from August 2023 through May 2024.</w:t>
      </w:r>
    </w:p>
    <w:p w14:paraId="25C63372" w14:textId="78B05E45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​</w:t>
      </w:r>
    </w:p>
    <w:p w14:paraId="3FB06B77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Tuition may be paid daily and weekly.</w:t>
      </w:r>
    </w:p>
    <w:p w14:paraId="6E177FE8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​</w:t>
      </w:r>
    </w:p>
    <w:p w14:paraId="1692D2A8" w14:textId="0838D564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 w:rsidRPr="006F5A0F">
        <w:rPr>
          <w:b/>
          <w:bCs/>
          <w:color w:val="0E101A"/>
        </w:rPr>
        <w:t>Referral Program:</w:t>
      </w:r>
      <w:r>
        <w:rPr>
          <w:color w:val="0E101A"/>
        </w:rPr>
        <w:t xml:space="preserve"> for each new student referred by a currently enrolled student, assuming the referred student remains at KBLC and has an up-to-date tuition payment account, the referring parent will receive a </w:t>
      </w:r>
      <w:r w:rsidR="000921F4">
        <w:rPr>
          <w:color w:val="0E101A"/>
        </w:rPr>
        <w:t>$</w:t>
      </w:r>
      <w:r w:rsidR="00C711D5">
        <w:rPr>
          <w:color w:val="0E101A"/>
        </w:rPr>
        <w:t>50</w:t>
      </w:r>
      <w:r w:rsidR="000921F4">
        <w:rPr>
          <w:color w:val="0E101A"/>
        </w:rPr>
        <w:t xml:space="preserve"> </w:t>
      </w:r>
      <w:r>
        <w:rPr>
          <w:color w:val="0E101A"/>
        </w:rPr>
        <w:t>gift card</w:t>
      </w:r>
      <w:r w:rsidR="003D3A54">
        <w:rPr>
          <w:color w:val="0E101A"/>
        </w:rPr>
        <w:t xml:space="preserve"> or $</w:t>
      </w:r>
      <w:r w:rsidR="00E02008">
        <w:rPr>
          <w:color w:val="0E101A"/>
        </w:rPr>
        <w:t>2</w:t>
      </w:r>
      <w:r w:rsidR="00AB0A45">
        <w:rPr>
          <w:color w:val="0E101A"/>
        </w:rPr>
        <w:t>0</w:t>
      </w:r>
      <w:r w:rsidR="003D3A54">
        <w:rPr>
          <w:color w:val="0E101A"/>
        </w:rPr>
        <w:t xml:space="preserve"> discount off </w:t>
      </w:r>
      <w:proofErr w:type="gramStart"/>
      <w:r w:rsidR="003D3A54">
        <w:rPr>
          <w:color w:val="0E101A"/>
        </w:rPr>
        <w:t>your</w:t>
      </w:r>
      <w:proofErr w:type="gramEnd"/>
      <w:r w:rsidR="003D3A54">
        <w:rPr>
          <w:color w:val="0E101A"/>
        </w:rPr>
        <w:t xml:space="preserve"> </w:t>
      </w:r>
      <w:r w:rsidR="00E02008">
        <w:rPr>
          <w:color w:val="0E101A"/>
        </w:rPr>
        <w:t xml:space="preserve">homeschool </w:t>
      </w:r>
      <w:r w:rsidR="003D3A54">
        <w:rPr>
          <w:color w:val="0E101A"/>
        </w:rPr>
        <w:t>tuition</w:t>
      </w:r>
      <w:r>
        <w:rPr>
          <w:color w:val="0E101A"/>
        </w:rPr>
        <w:t>. </w:t>
      </w:r>
      <w:r w:rsidR="00CB70FA">
        <w:rPr>
          <w:color w:val="0E101A"/>
        </w:rPr>
        <w:t>Ends August 6</w:t>
      </w:r>
      <w:r w:rsidR="00CB70FA" w:rsidRPr="00CB70FA">
        <w:rPr>
          <w:color w:val="0E101A"/>
          <w:vertAlign w:val="superscript"/>
        </w:rPr>
        <w:t>th</w:t>
      </w:r>
      <w:r w:rsidR="00CB70FA">
        <w:rPr>
          <w:color w:val="0E101A"/>
        </w:rPr>
        <w:t>.</w:t>
      </w:r>
    </w:p>
    <w:p w14:paraId="19A835C0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​</w:t>
      </w:r>
    </w:p>
    <w:p w14:paraId="6522BB7F" w14:textId="360177E1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Multi-Child Discount:</w:t>
      </w:r>
      <w:r>
        <w:rPr>
          <w:color w:val="0E101A"/>
        </w:rPr>
        <w:t> We offer a discount for families enrolling with more than one child. This discount applies to each additional child's tuition.</w:t>
      </w:r>
      <w:r w:rsidR="000921F4">
        <w:rPr>
          <w:color w:val="0E101A"/>
        </w:rPr>
        <w:t xml:space="preserve"> Call or email us for more details. </w:t>
      </w:r>
    </w:p>
    <w:p w14:paraId="007FF28C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​</w:t>
      </w:r>
    </w:p>
    <w:p w14:paraId="47889E8E" w14:textId="77777777" w:rsidR="006F5A0F" w:rsidRDefault="006F5A0F" w:rsidP="006F5A0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Mandatory Parent/Member Orientation:</w:t>
      </w:r>
      <w:r>
        <w:rPr>
          <w:color w:val="0E101A"/>
        </w:rPr>
        <w:t> Every child and parent/guardian must attend a mandatory orientation before attending the learning center.</w:t>
      </w:r>
    </w:p>
    <w:p w14:paraId="7379FFB6" w14:textId="77777777" w:rsidR="006F5A0F" w:rsidRPr="00B45E46" w:rsidRDefault="006F5A0F" w:rsidP="00B45E4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4947CD6" w14:textId="77777777" w:rsidR="00E841D2" w:rsidRDefault="00E841D2" w:rsidP="00E8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1D2" w14:paraId="665DE869" w14:textId="77777777" w:rsidTr="00E841D2">
        <w:tc>
          <w:tcPr>
            <w:tcW w:w="4675" w:type="dxa"/>
            <w:shd w:val="clear" w:color="auto" w:fill="7030A0"/>
          </w:tcPr>
          <w:p w14:paraId="265412C7" w14:textId="7DBC3737" w:rsidR="00E841D2" w:rsidRPr="00E841D2" w:rsidRDefault="00E841D2" w:rsidP="00E841D2">
            <w:pPr>
              <w:jc w:val="center"/>
              <w:rPr>
                <w:b/>
                <w:bCs/>
                <w:color w:val="FFFFFF" w:themeColor="background1"/>
              </w:rPr>
            </w:pPr>
            <w:r w:rsidRPr="00E841D2">
              <w:rPr>
                <w:b/>
                <w:bCs/>
                <w:color w:val="FFFFFF" w:themeColor="background1"/>
              </w:rPr>
              <w:t>NON-REFUNDABLE FEES</w:t>
            </w:r>
          </w:p>
        </w:tc>
        <w:tc>
          <w:tcPr>
            <w:tcW w:w="4675" w:type="dxa"/>
            <w:shd w:val="clear" w:color="auto" w:fill="7030A0"/>
          </w:tcPr>
          <w:p w14:paraId="026135E9" w14:textId="58758AAB" w:rsidR="00E841D2" w:rsidRPr="00E841D2" w:rsidRDefault="00E841D2" w:rsidP="00E841D2">
            <w:pPr>
              <w:jc w:val="center"/>
              <w:rPr>
                <w:b/>
                <w:bCs/>
                <w:color w:val="FFFFFF" w:themeColor="background1"/>
              </w:rPr>
            </w:pPr>
            <w:r w:rsidRPr="00E841D2">
              <w:rPr>
                <w:b/>
                <w:bCs/>
                <w:color w:val="FFFFFF" w:themeColor="background1"/>
              </w:rPr>
              <w:t xml:space="preserve">PER </w:t>
            </w:r>
            <w:r w:rsidR="006F5A0F">
              <w:rPr>
                <w:b/>
                <w:bCs/>
                <w:color w:val="FFFFFF" w:themeColor="background1"/>
              </w:rPr>
              <w:t>HOUSEHOLD</w:t>
            </w:r>
          </w:p>
        </w:tc>
      </w:tr>
      <w:tr w:rsidR="00E841D2" w14:paraId="234920A6" w14:textId="77777777" w:rsidTr="00E841D2">
        <w:tc>
          <w:tcPr>
            <w:tcW w:w="4675" w:type="dxa"/>
          </w:tcPr>
          <w:p w14:paraId="2D3F28AE" w14:textId="77777777" w:rsidR="00E841D2" w:rsidRDefault="00637FB7" w:rsidP="00E841D2">
            <w:r>
              <w:t>Early Enrollment Fee</w:t>
            </w:r>
          </w:p>
          <w:p w14:paraId="3BA9E9E6" w14:textId="0C93115D" w:rsidR="00637FB7" w:rsidRDefault="00637FB7" w:rsidP="00E841D2">
            <w:r>
              <w:t>(May to June)</w:t>
            </w:r>
          </w:p>
        </w:tc>
        <w:tc>
          <w:tcPr>
            <w:tcW w:w="4675" w:type="dxa"/>
          </w:tcPr>
          <w:p w14:paraId="007F00AA" w14:textId="3749786B" w:rsidR="00E841D2" w:rsidRDefault="00637FB7" w:rsidP="00E841D2">
            <w:r>
              <w:t>$90</w:t>
            </w:r>
          </w:p>
        </w:tc>
      </w:tr>
      <w:tr w:rsidR="00E841D2" w14:paraId="220A97E5" w14:textId="77777777" w:rsidTr="00E841D2">
        <w:tc>
          <w:tcPr>
            <w:tcW w:w="4675" w:type="dxa"/>
          </w:tcPr>
          <w:p w14:paraId="403AD4BB" w14:textId="77777777" w:rsidR="00E841D2" w:rsidRDefault="00637FB7" w:rsidP="00E841D2">
            <w:r>
              <w:t>Enrollment Fee</w:t>
            </w:r>
          </w:p>
          <w:p w14:paraId="47763E32" w14:textId="319DB5BB" w:rsidR="00637FB7" w:rsidRDefault="00637FB7" w:rsidP="00E841D2">
            <w:r>
              <w:t>(July)</w:t>
            </w:r>
          </w:p>
        </w:tc>
        <w:tc>
          <w:tcPr>
            <w:tcW w:w="4675" w:type="dxa"/>
          </w:tcPr>
          <w:p w14:paraId="1E3CEADB" w14:textId="6BB4F8C4" w:rsidR="00E841D2" w:rsidRDefault="00637FB7" w:rsidP="00E841D2">
            <w:r>
              <w:t>$100</w:t>
            </w:r>
          </w:p>
        </w:tc>
      </w:tr>
      <w:tr w:rsidR="00E841D2" w14:paraId="585E6466" w14:textId="77777777" w:rsidTr="00E841D2">
        <w:tc>
          <w:tcPr>
            <w:tcW w:w="4675" w:type="dxa"/>
          </w:tcPr>
          <w:p w14:paraId="13E4D51B" w14:textId="77777777" w:rsidR="00E841D2" w:rsidRDefault="00637FB7" w:rsidP="00E841D2">
            <w:r>
              <w:t>Late Enrollment Fee</w:t>
            </w:r>
          </w:p>
          <w:p w14:paraId="0B71F8D9" w14:textId="10D42D3E" w:rsidR="00637FB7" w:rsidRDefault="00637FB7" w:rsidP="00E841D2">
            <w:r>
              <w:t>August</w:t>
            </w:r>
            <w:r w:rsidR="00903CE5">
              <w:t xml:space="preserve"> 14</w:t>
            </w:r>
            <w:r w:rsidR="00903CE5" w:rsidRPr="00903CE5">
              <w:rPr>
                <w:vertAlign w:val="superscript"/>
              </w:rPr>
              <w:t>th</w:t>
            </w:r>
            <w:r w:rsidR="00903CE5">
              <w:t xml:space="preserve"> </w:t>
            </w:r>
            <w:r>
              <w:t xml:space="preserve">-remaining of </w:t>
            </w:r>
            <w:r w:rsidR="003D3A54">
              <w:t xml:space="preserve">the </w:t>
            </w:r>
            <w:r>
              <w:t>school year for late or second semester enrollees</w:t>
            </w:r>
          </w:p>
        </w:tc>
        <w:tc>
          <w:tcPr>
            <w:tcW w:w="4675" w:type="dxa"/>
          </w:tcPr>
          <w:p w14:paraId="2E644957" w14:textId="707BAC57" w:rsidR="00E841D2" w:rsidRDefault="00637FB7" w:rsidP="00E841D2">
            <w:r>
              <w:t>$120</w:t>
            </w:r>
          </w:p>
        </w:tc>
      </w:tr>
    </w:tbl>
    <w:p w14:paraId="75E20891" w14:textId="77777777" w:rsidR="00E841D2" w:rsidRDefault="00E841D2" w:rsidP="00E841D2"/>
    <w:p w14:paraId="7915D7A6" w14:textId="77777777" w:rsidR="00637FB7" w:rsidRDefault="00637FB7" w:rsidP="00E841D2"/>
    <w:sectPr w:rsidR="0063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206C"/>
    <w:multiLevelType w:val="multilevel"/>
    <w:tmpl w:val="02A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7250A"/>
    <w:multiLevelType w:val="hybridMultilevel"/>
    <w:tmpl w:val="661A6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6309">
    <w:abstractNumId w:val="1"/>
  </w:num>
  <w:num w:numId="2" w16cid:durableId="77483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jYxtDAxszQ3tjRS0lEKTi0uzszPAykwqQUAU11BxywAAAA="/>
  </w:docVars>
  <w:rsids>
    <w:rsidRoot w:val="00E841D2"/>
    <w:rsid w:val="000921F4"/>
    <w:rsid w:val="003D3A54"/>
    <w:rsid w:val="00565D2D"/>
    <w:rsid w:val="00637FB7"/>
    <w:rsid w:val="006F5A0F"/>
    <w:rsid w:val="00903CE5"/>
    <w:rsid w:val="00AB0A45"/>
    <w:rsid w:val="00B45E46"/>
    <w:rsid w:val="00C711D5"/>
    <w:rsid w:val="00CB70FA"/>
    <w:rsid w:val="00E02008"/>
    <w:rsid w:val="00E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A8A3"/>
  <w15:chartTrackingRefBased/>
  <w15:docId w15:val="{0FFB2681-45D5-4EB6-9250-B27C84A9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D2"/>
    <w:pPr>
      <w:ind w:left="720"/>
      <w:contextualSpacing/>
    </w:pPr>
  </w:style>
  <w:style w:type="table" w:styleId="TableGrid">
    <w:name w:val="Table Grid"/>
    <w:basedOn w:val="TableNormal"/>
    <w:uiPriority w:val="39"/>
    <w:rsid w:val="00E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6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F5A0F"/>
  </w:style>
  <w:style w:type="character" w:styleId="Strong">
    <w:name w:val="Strong"/>
    <w:basedOn w:val="DefaultParagraphFont"/>
    <w:uiPriority w:val="22"/>
    <w:qFormat/>
    <w:rsid w:val="006F5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10</cp:revision>
  <cp:lastPrinted>2023-07-25T15:03:00Z</cp:lastPrinted>
  <dcterms:created xsi:type="dcterms:W3CDTF">2023-04-23T21:07:00Z</dcterms:created>
  <dcterms:modified xsi:type="dcterms:W3CDTF">2023-08-03T13:55:00Z</dcterms:modified>
</cp:coreProperties>
</file>